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9E" w:rsidRDefault="00781F9E" w:rsidP="00781F9E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pacing w:val="-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pacing w:val="-6"/>
          <w:sz w:val="33"/>
          <w:szCs w:val="33"/>
          <w:lang w:eastAsia="ru-RU"/>
        </w:rPr>
        <w:t>Какие изменения внесли в контрольные измерительные материалы ЕГЭ в 2018/19 учебном году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Впервые в 2019 году выпускники могут выбрать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hyperlink r:id="rId5" w:anchor="/document/16/40997/zav9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ЕГЭ по китайскому языку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 В контрольные измерительные материалы (КИМ) по шести предметам внесли изменения и уточнения:</w:t>
      </w:r>
    </w:p>
    <w:p w:rsidR="00781F9E" w:rsidRDefault="00781F9E" w:rsidP="00781F9E">
      <w:pPr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anchor="/document/16/40997/zav10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русский язык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781F9E" w:rsidRDefault="00781F9E" w:rsidP="00781F9E">
      <w:pPr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anchor="/document/16/40997/zav11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литература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781F9E" w:rsidRDefault="00781F9E" w:rsidP="00781F9E">
      <w:pPr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anchor="/document/16/40997/zav12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история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781F9E" w:rsidRDefault="00781F9E" w:rsidP="00781F9E">
      <w:pPr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anchor="/document/16/40997/zav13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обществознание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781F9E" w:rsidRDefault="00781F9E" w:rsidP="00781F9E">
      <w:pPr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anchor="/document/16/40997/zav14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иностранный язык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;</w:t>
      </w:r>
    </w:p>
    <w:p w:rsidR="00781F9E" w:rsidRDefault="00781F9E" w:rsidP="00781F9E">
      <w:pPr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anchor="/document/16/40997/zav15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биология</w:t>
        </w:r>
      </w:hyperlink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Также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КИМ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внесены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hyperlink r:id="rId12" w:anchor="/document/16/40997/zav16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дополнительные инструкции</w:t>
        </w:r>
      </w:hyperlink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учеников. Еще одно нововведение –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hyperlink r:id="rId13" w:anchor="/document/16/40997/zav17/" w:history="1">
        <w:r>
          <w:rPr>
            <w:rStyle w:val="a5"/>
            <w:rFonts w:ascii="Arial" w:eastAsia="Times New Roman" w:hAnsi="Arial" w:cs="Arial"/>
            <w:color w:val="2D78DA"/>
            <w:sz w:val="23"/>
            <w:lang w:eastAsia="ru-RU"/>
          </w:rPr>
          <w:t>апробирование новых информационных технологий</w:t>
        </w:r>
      </w:hyperlink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2019 году.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ЕГЭ по китайскому языку.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и экзамен по другим иностранным языкам, ЕГЭ по китайскому языку включает устную и письменную части. Демоверсии обеих частей размещены на сайте Федерального института педагогических измерений.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Русский язык.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КИМ по русскому языку стало не 26, а 27 заданий. Добавили задание 21, которое проверяет умение производить пунктуационный анализ текста. Общее количество первичных баллов осталось неизменным – 58 баллов: 1 балл от задания 1 переместился на задание 21.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задании 2 теперь полностью отсутствует выбор ответов. Задания 9–12 стали заданиями с множественным выбором ответов. Количество ответов может быть разным. Разработчики предполагают, что такой подход будет способствовать более точной дифференциации разных групп выпускников.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Чтобы сдать экзамен, теперь нужно продемонстрировать больше умений в области орфографии, пунктуации, грамматики, то есть экзамен стал сложнее. Для некоторых заданий конкретизирована степень сложности: задание на синтаксические нормы перешло из категории заданий высокого уровня сложности в категорию заданий базового уровня сложности. Задания высокого уровня сложности отсутствуют,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КИМ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включены только задания базового и повышенного уровней сложностей, так как ЕГЭ по русскому языку сдают все без исключения.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Видоизменились формулировка и критерии оценивания задания 27, в котором требуется развернутый ответ. Теперь нет обязательной литературной аргументации, но расширились задачи комментирования исходного текста. Выпускник должен проявить способности по смысловому чтению текста «здесь и сейчас», использовать фоновые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знания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прежде всего в связи с анализом, интерпретацией текста.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Литература.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КИМ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 литературе уточнили критерии для оценки развернутых ответов. Исправления внесли в задания:</w:t>
      </w:r>
    </w:p>
    <w:p w:rsidR="00781F9E" w:rsidRDefault="00781F9E" w:rsidP="00781F9E">
      <w:pPr>
        <w:numPr>
          <w:ilvl w:val="0"/>
          <w:numId w:val="2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8 и 15 – формулировка критерия 1 с описанием требований к ответу на 2 балла, правила подсчета фактических ошибок в критерии 2;</w:t>
      </w:r>
    </w:p>
    <w:p w:rsidR="00781F9E" w:rsidRDefault="00781F9E" w:rsidP="00781F9E">
      <w:pPr>
        <w:numPr>
          <w:ilvl w:val="0"/>
          <w:numId w:val="2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9 и 16 – в критериях 1 и 2 учтены возможные варианты изъянов в ответе;</w:t>
      </w:r>
    </w:p>
    <w:p w:rsidR="00781F9E" w:rsidRDefault="00781F9E" w:rsidP="00781F9E">
      <w:pPr>
        <w:numPr>
          <w:ilvl w:val="0"/>
          <w:numId w:val="2"/>
        </w:numPr>
        <w:spacing w:after="0" w:line="240" w:lineRule="auto"/>
        <w:ind w:left="-1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17.1–17.4 – в критерий 4 добавлен подсчет логических ошибок.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История.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КИМ</w:t>
      </w:r>
      <w:proofErr w:type="gramEnd"/>
      <w:r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по истории в задание 21 добавлено дополнительное условие, которое касается оформления ответа. Также расширились критерии оценивания. От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выпускников требуют давать четкий ответ, не увлекаться цитированием, выделять главное в тексте и выписывать тезисы. Целиком переписанная цитата, в которой много лишней, избыточной информации, засчитываться не будет.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Обществознание.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ЕГЭ по обществознанию задание 25 получило более детальную формулировку и критерии оценки, за его правильное выполнение выпускник получит 4 балла вместо 3. Это увеличило общую сумму баллов с 64 до 65. Изменения коснулись также формулировок и критериев для заданий 28 и 29. Детализирована формулировка задания 28: план должен содержать не менее трех пунктов, непосредственно раскрывающих тему. В задании 29 конкретнее стали критерии по оцениванию теоретического материала. Кроме того, примеры социальных фактов не должны дублировать друг друга.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Иностранный язык.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задании 40 раздела ЕГЭ по иностранным языкам «Письмо» уточнили формулировку и критерии оценивания. Теперь выпускнику надо будет выбрать одну из двух тем для написания развернутого текста-рассуждения и выразить свою точку зрения.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Биология.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биологии предложена новая модель задания в линии 2. Раньше там было задание с множественным выбором, которое оценивалось максимум в 2 балла, теперь – задание на умение анализировать таблицу. Получить за него можно будет только 1 балл. Максимальный балл также уменьшился на единицу: теперь он составляет не 59, а 58.</w:t>
      </w:r>
    </w:p>
    <w:p w:rsidR="00781F9E" w:rsidRDefault="00781F9E" w:rsidP="00781F9E">
      <w:pPr>
        <w:spacing w:after="225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Дополнительные инструкции.</w:t>
      </w:r>
      <w:r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Участились случаи, когда участники экзамена не переносят ответы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КИМ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или черновиков в бланки ответов. Ученики также путаются в нумерации, когда переносят ответы в бланки, из-за этого баллы даже за верно выполненные задания не засчитывают. Поэтому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КИМ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 всем учебным предметам дважды введены дополнительные инструкции-напоминания о проверке записи ответов на бланках 1 и 2 под номерами заданий.</w:t>
      </w:r>
    </w:p>
    <w:p w:rsidR="00781F9E" w:rsidRDefault="00781F9E" w:rsidP="00781F9E">
      <w:pPr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Примеры новых формулировок </w:t>
      </w:r>
    </w:p>
    <w:p w:rsidR="00400A37" w:rsidRDefault="00A24B92" w:rsidP="00781F9E">
      <w:r w:rsidRPr="00A24B92">
        <w:rPr>
          <w:noProof/>
          <w:lang w:eastAsia="ru-RU"/>
        </w:rPr>
        <w:drawing>
          <wp:inline distT="0" distB="0" distL="0" distR="0">
            <wp:extent cx="4457700" cy="933450"/>
            <wp:effectExtent l="19050" t="0" r="0" b="0"/>
            <wp:docPr id="2" name="-3608657" descr="https://1zavuch.ru/system/content/image/66/1/-36086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08657" descr="https://1zavuch.ru/system/content/image/66/1/-3608657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A37" w:rsidSect="0055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5CA"/>
    <w:multiLevelType w:val="multilevel"/>
    <w:tmpl w:val="81F0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10F1F"/>
    <w:multiLevelType w:val="multilevel"/>
    <w:tmpl w:val="90E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37"/>
    <w:rsid w:val="00400A37"/>
    <w:rsid w:val="00553570"/>
    <w:rsid w:val="00781F9E"/>
    <w:rsid w:val="00A2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1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2019-01-25T14:28:00Z</dcterms:created>
  <dcterms:modified xsi:type="dcterms:W3CDTF">2019-01-25T14:30:00Z</dcterms:modified>
</cp:coreProperties>
</file>