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F1" w:rsidRPr="004D0AC6" w:rsidRDefault="00F129F1" w:rsidP="00F129F1">
      <w:pPr>
        <w:pStyle w:val="1"/>
      </w:pPr>
      <w:bookmarkStart w:id="0" w:name="_Toc412037234"/>
      <w:bookmarkStart w:id="1" w:name="_Toc439238830"/>
      <w:r w:rsidRPr="004D0AC6">
        <w:t>Организация проверки развернутых ответов</w:t>
      </w:r>
      <w:bookmarkEnd w:id="0"/>
      <w:bookmarkEnd w:id="1"/>
    </w:p>
    <w:p w:rsidR="00F129F1" w:rsidRPr="004D0AC6" w:rsidRDefault="00F129F1" w:rsidP="00F129F1">
      <w:pPr>
        <w:pStyle w:val="2"/>
      </w:pPr>
      <w:bookmarkStart w:id="2" w:name="_Toc412037235"/>
      <w:bookmarkStart w:id="3" w:name="_Toc439238831"/>
      <w:r w:rsidRPr="004D0AC6">
        <w:t>Методика оценивания развернутых ответов на</w:t>
      </w:r>
      <w:r>
        <w:t> </w:t>
      </w:r>
      <w:r w:rsidRPr="004D0AC6">
        <w:t>задания экзаменационной работы</w:t>
      </w:r>
      <w:bookmarkEnd w:id="2"/>
      <w:bookmarkEnd w:id="3"/>
    </w:p>
    <w:p w:rsidR="00F129F1" w:rsidRPr="00C433AD" w:rsidRDefault="00F129F1" w:rsidP="00F129F1">
      <w:pPr>
        <w:numPr>
          <w:ilvl w:val="1"/>
          <w:numId w:val="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Развернутые ответы участников ГИА оцениваются двумя экспертами.</w:t>
      </w:r>
    </w:p>
    <w:p w:rsidR="00F129F1" w:rsidRPr="004D0AC6" w:rsidRDefault="00F129F1" w:rsidP="00F129F1">
      <w:pPr>
        <w:numPr>
          <w:ilvl w:val="1"/>
          <w:numId w:val="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 результатам первой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второй проверок эксперты, независимо друг от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друга, выставляют баллы за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каждый ответ на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задания экзаменационной работы ЕГЭ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развернутым ответом, за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каждый ответ на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задания экзаменационной работы ГВЭ. Результаты каждого оценивания вносятся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протокол проверки экспертом развернутых ответов участников ГИА.</w:t>
      </w:r>
    </w:p>
    <w:p w:rsidR="00F129F1" w:rsidRPr="004D0AC6" w:rsidRDefault="00F129F1" w:rsidP="00F129F1">
      <w:pPr>
        <w:numPr>
          <w:ilvl w:val="1"/>
          <w:numId w:val="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случае установления существенного расхождения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баллах, выставляемых двумя экспертами, назначается дополнительная третья проверка председателем ПК (в случае проверки экзаменационной работы участника ГВЭ) или </w:t>
      </w:r>
      <w:proofErr w:type="spellStart"/>
      <w:r w:rsidRPr="004D0AC6">
        <w:rPr>
          <w:sz w:val="26"/>
          <w:szCs w:val="26"/>
        </w:rPr>
        <w:t>автоматизированно</w:t>
      </w:r>
      <w:proofErr w:type="spellEnd"/>
      <w:r w:rsidRPr="004D0AC6">
        <w:rPr>
          <w:sz w:val="26"/>
          <w:szCs w:val="26"/>
        </w:rPr>
        <w:t xml:space="preserve"> (в случае проверки экзаменационной работы участника ЕГЭ).</w:t>
      </w:r>
    </w:p>
    <w:p w:rsidR="00F129F1" w:rsidRPr="004D0AC6" w:rsidRDefault="00F129F1" w:rsidP="00F129F1">
      <w:pPr>
        <w:numPr>
          <w:ilvl w:val="1"/>
          <w:numId w:val="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Существенное расхождение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баллах, выставленных двумя экспертами, определено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критериях оценивания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каждому учебному предмету.</w:t>
      </w:r>
    </w:p>
    <w:p w:rsidR="00F129F1" w:rsidRPr="004D0AC6" w:rsidRDefault="00F129F1" w:rsidP="00F129F1">
      <w:pPr>
        <w:numPr>
          <w:ilvl w:val="1"/>
          <w:numId w:val="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Третий эксперт назначается председателем ПК (в случае проверки экзаменационной работы участника ГВЭ)  или </w:t>
      </w:r>
      <w:proofErr w:type="spellStart"/>
      <w:r w:rsidRPr="004D0AC6">
        <w:rPr>
          <w:sz w:val="26"/>
          <w:szCs w:val="26"/>
        </w:rPr>
        <w:t>автоматизированно</w:t>
      </w:r>
      <w:proofErr w:type="spellEnd"/>
      <w:r w:rsidRPr="004D0AC6">
        <w:rPr>
          <w:sz w:val="26"/>
          <w:szCs w:val="26"/>
        </w:rPr>
        <w:t xml:space="preserve"> (в случае проверки экзаменационной работы участника ЕГЭ) из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числа экспертов ПК,  которым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текущем году присвоен статус «ведущий эксперт» или «старший эксперт», ранее не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проверявших данную экзаменационную работу.</w:t>
      </w:r>
    </w:p>
    <w:p w:rsidR="00F129F1" w:rsidRPr="004D0AC6" w:rsidRDefault="00F129F1" w:rsidP="00F129F1">
      <w:pPr>
        <w:numPr>
          <w:ilvl w:val="1"/>
          <w:numId w:val="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Эксперту, осуществляющему третью проверку, предоставляется информация 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баллах, выставленных экспертами, ранее проверявшими экзаменационную работу.</w:t>
      </w:r>
    </w:p>
    <w:p w:rsidR="00F129F1" w:rsidRPr="004D0AC6" w:rsidRDefault="00F129F1" w:rsidP="00F129F1">
      <w:pPr>
        <w:numPr>
          <w:ilvl w:val="1"/>
          <w:numId w:val="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Третий эксперт проверяет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выставляет баллы за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выполнение всех заданий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развернутым ответом, позиции оценивания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которым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бланке-протоколе не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заполнены знаком «Х» (в случае проверки экзаменационной работы участника ЕГЭ). </w:t>
      </w:r>
    </w:p>
    <w:p w:rsidR="00F129F1" w:rsidRPr="004D0AC6" w:rsidRDefault="00F129F1" w:rsidP="00F129F1">
      <w:pPr>
        <w:numPr>
          <w:ilvl w:val="1"/>
          <w:numId w:val="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Распределение работ участников ЕГЭ между экспертами ПК, расчет баллов по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каждому заданию экзаменационной работы ЕГЭ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развернутым ответом, 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также определение необходимости проверки третьим экспертом осуществляются </w:t>
      </w:r>
      <w:proofErr w:type="spellStart"/>
      <w:r w:rsidRPr="004D0AC6">
        <w:rPr>
          <w:sz w:val="26"/>
          <w:szCs w:val="26"/>
        </w:rPr>
        <w:t>автоматизированно</w:t>
      </w:r>
      <w:proofErr w:type="spellEnd"/>
      <w:r w:rsidRPr="004D0AC6">
        <w:rPr>
          <w:sz w:val="26"/>
          <w:szCs w:val="26"/>
        </w:rPr>
        <w:t>,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использованием специализированных аппаратно-программных средств РЦОИ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ФЦТ.</w:t>
      </w:r>
    </w:p>
    <w:p w:rsidR="00F129F1" w:rsidRPr="004D0AC6" w:rsidRDefault="00F129F1" w:rsidP="00F129F1">
      <w:pPr>
        <w:numPr>
          <w:ilvl w:val="1"/>
          <w:numId w:val="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Распределение экзаменационных работ ГВЭ, расчет окончательных баллов экзаменационной работы ГВЭ, 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также определение необходимости проверки третьим экспертом производится председателем ПК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и фиксируется протоколом, который затем передается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ГЭК.</w:t>
      </w:r>
    </w:p>
    <w:p w:rsidR="00F129F1" w:rsidRPr="004D0AC6" w:rsidRDefault="00F129F1" w:rsidP="00F129F1">
      <w:pPr>
        <w:numPr>
          <w:ilvl w:val="1"/>
          <w:numId w:val="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Окончательные баллы за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развернутые ответы определяются, исходя из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следующих положений:</w:t>
      </w:r>
    </w:p>
    <w:p w:rsidR="00F129F1" w:rsidRPr="004D0AC6" w:rsidRDefault="00F129F1" w:rsidP="00F129F1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баллы, выставленные двумя экспертами, совпали, то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эти баллы являются окончательными;</w:t>
      </w:r>
    </w:p>
    <w:p w:rsidR="00F129F1" w:rsidRPr="004D0AC6" w:rsidRDefault="00F129F1" w:rsidP="00F129F1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установлено несущественное расхождение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баллах, выставленных двумя экспертами, то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окончательные баллы определяются как среднее арифметическое баллов двух экспертов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округлением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правилами математического округления;</w:t>
      </w:r>
    </w:p>
    <w:p w:rsidR="00F129F1" w:rsidRPr="004D0AC6" w:rsidRDefault="00F129F1" w:rsidP="00F129F1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lastRenderedPageBreak/>
        <w:t>если установлено существенное расхождение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баллах, выставленных двумя экспертами, то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назначается третья проверка, результаты которой являются окончательными.</w:t>
      </w:r>
    </w:p>
    <w:p w:rsidR="00F129F1" w:rsidRPr="004D0AC6" w:rsidRDefault="00F129F1" w:rsidP="00F129F1">
      <w:pPr>
        <w:pStyle w:val="2"/>
      </w:pPr>
      <w:bookmarkStart w:id="4" w:name="_Toc412037236"/>
      <w:bookmarkStart w:id="5" w:name="_Toc439238832"/>
      <w:r w:rsidRPr="004D0AC6">
        <w:t>Порядок проведения проверки развернутых ответов участников ГИА</w:t>
      </w:r>
      <w:bookmarkEnd w:id="4"/>
      <w:bookmarkEnd w:id="5"/>
    </w:p>
    <w:p w:rsidR="00F129F1" w:rsidRPr="00784734" w:rsidRDefault="00F129F1" w:rsidP="00F129F1">
      <w:pPr>
        <w:numPr>
          <w:ilvl w:val="1"/>
          <w:numId w:val="2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 xml:space="preserve">Не </w:t>
      </w:r>
      <w:proofErr w:type="gramStart"/>
      <w:r w:rsidRPr="00784734">
        <w:rPr>
          <w:sz w:val="26"/>
          <w:szCs w:val="26"/>
        </w:rPr>
        <w:t>позднее</w:t>
      </w:r>
      <w:proofErr w:type="gramEnd"/>
      <w:r w:rsidRPr="00784734">
        <w:rPr>
          <w:sz w:val="26"/>
          <w:szCs w:val="26"/>
        </w:rPr>
        <w:t xml:space="preserve"> чем за 14 календарных дней до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начала проведения обработки ЭМ, председатель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и руководитель РЦОИ согласуют график работы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в период проведения обработки ЭМ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по соответствующему учебному предмету, исходя из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действующих требований 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срокам проведения обработки ЭМ.</w:t>
      </w:r>
    </w:p>
    <w:p w:rsidR="00F129F1" w:rsidRPr="00784734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 xml:space="preserve">Не </w:t>
      </w:r>
      <w:proofErr w:type="gramStart"/>
      <w:r w:rsidRPr="00784734">
        <w:rPr>
          <w:sz w:val="26"/>
          <w:szCs w:val="26"/>
        </w:rPr>
        <w:t>позднее</w:t>
      </w:r>
      <w:proofErr w:type="gramEnd"/>
      <w:r w:rsidRPr="00784734">
        <w:rPr>
          <w:sz w:val="26"/>
          <w:szCs w:val="26"/>
        </w:rPr>
        <w:t xml:space="preserve"> чем за 14 календарных дней до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начала проведения экзаменов, председатель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передает руководителю РЦОИ списочный состав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и расписание работы экспертов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для назначения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РИС экспертов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проверку работ. 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proofErr w:type="gramStart"/>
      <w:r w:rsidRPr="00090759">
        <w:rPr>
          <w:sz w:val="26"/>
          <w:szCs w:val="26"/>
        </w:rPr>
        <w:t>Списочный состав ПК, передаваемый руководителю РЦОИ, должен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обязательном порядке содержать информацию 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статусе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третью проверку, перепроверку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проверку апелляционных работ экспертам., Председатель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согласует с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руководителем РЦОИ график работы экспертов ПК, проводящих проверку изображений предположительно незаполненных участниками ЕГЭ бланков ответов </w:t>
      </w:r>
      <w:r>
        <w:rPr>
          <w:sz w:val="26"/>
          <w:szCs w:val="26"/>
        </w:rPr>
        <w:t>№ </w:t>
      </w:r>
      <w:r w:rsidRPr="00090759">
        <w:rPr>
          <w:sz w:val="26"/>
          <w:szCs w:val="26"/>
        </w:rPr>
        <w:t>2, дополнительных</w:t>
      </w:r>
      <w:proofErr w:type="gramEnd"/>
      <w:r w:rsidRPr="00090759">
        <w:rPr>
          <w:sz w:val="26"/>
          <w:szCs w:val="26"/>
        </w:rPr>
        <w:t xml:space="preserve"> бланков ответов </w:t>
      </w:r>
      <w:r>
        <w:rPr>
          <w:sz w:val="26"/>
          <w:szCs w:val="26"/>
        </w:rPr>
        <w:t>№ </w:t>
      </w:r>
      <w:r w:rsidRPr="00090759">
        <w:rPr>
          <w:sz w:val="26"/>
          <w:szCs w:val="26"/>
        </w:rPr>
        <w:t>2.</w:t>
      </w:r>
    </w:p>
    <w:p w:rsidR="00F129F1" w:rsidRPr="00784734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К проверке принимаются развернутые ответы участников ЕГЭ, выполненные только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Бланках ответов № 2 и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дополнительных Бланках ответов № 2 установленной </w:t>
      </w:r>
      <w:proofErr w:type="spellStart"/>
      <w:r w:rsidRPr="00784734">
        <w:rPr>
          <w:sz w:val="26"/>
          <w:szCs w:val="26"/>
        </w:rPr>
        <w:t>Рособрнадзором</w:t>
      </w:r>
      <w:proofErr w:type="spellEnd"/>
      <w:r w:rsidRPr="00784734">
        <w:rPr>
          <w:sz w:val="26"/>
          <w:szCs w:val="26"/>
        </w:rPr>
        <w:t xml:space="preserve"> формы и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заполненные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соответствии с «Правилами заполнения бланков ЕГЭ». </w:t>
      </w:r>
    </w:p>
    <w:p w:rsidR="00F129F1" w:rsidRPr="00784734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proofErr w:type="gramStart"/>
      <w:r w:rsidRPr="00784734">
        <w:rPr>
          <w:sz w:val="26"/>
          <w:szCs w:val="26"/>
        </w:rPr>
        <w:t>Часть экзаменационной работы, которая следует после хотя бы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одной незаполненной участником ЕГЭ страницы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бланках ЕГЭ, 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оцениванию не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допускается (выполнение заданий, ответы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которые размещены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этой части экзаменационной работы, оцениваются как задания, 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ответу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которые участник ЕГЭ не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приступал - знаком «Х»).</w:t>
      </w:r>
      <w:proofErr w:type="gramEnd"/>
    </w:p>
    <w:p w:rsidR="00F129F1" w:rsidRPr="00784734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Председатель 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до начала работы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получает от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руководителя РЦОИ критерии оценивания развернутых ответов, 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также дополнительные схемы оценивания ответов при проверке ответов по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иностранным языкам, полученные из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ФЦТ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день проведения экзамена, и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проводит оперативное согласование подходов 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оцениванию развернутых ответов участников ЕГЭ, опираясь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полученные критерии. </w:t>
      </w:r>
    </w:p>
    <w:p w:rsidR="00F129F1" w:rsidRPr="00784734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В целях обеспечения наиболее согласованной работы экспертов председатель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может назначить из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числа экспертов, имеющих статус "ведущий эксперт" или "старший эксперт", консультантов, 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которым могут обращаться эксперты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при возникновении затруднений при оценивании развернутых ответов участников ГИА. Рабочие места консультирующих экспертов должны быть организованы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помещениях, где работает ПК, таким образом, чтобы консультации не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мешали работе других экспертов. </w:t>
      </w:r>
    </w:p>
    <w:p w:rsidR="00F129F1" w:rsidRPr="00784734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proofErr w:type="gramStart"/>
      <w:r w:rsidRPr="00784734">
        <w:rPr>
          <w:sz w:val="26"/>
          <w:szCs w:val="26"/>
        </w:rPr>
        <w:t>В целях обеспечения наиболее объективного оценивания развернутых ответов участников ГИА председатель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или назначенный им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эксперт может использовать специально оборудованное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помещениях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рабочее место с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выходом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информационно-телекоммуникационную сеть «Интернет» для обеспечения возможности уточнения экспертами изложенных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экзаменационных </w:t>
      </w:r>
      <w:r w:rsidRPr="00784734">
        <w:rPr>
          <w:sz w:val="26"/>
          <w:szCs w:val="26"/>
        </w:rPr>
        <w:lastRenderedPageBreak/>
        <w:t>работах участников ГИА фактов (например, сверка с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источниками, проверка приведенных участниками ГИА фамилий, названий, фактов и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т.п.).</w:t>
      </w:r>
      <w:proofErr w:type="gramEnd"/>
    </w:p>
    <w:p w:rsidR="00F129F1" w:rsidRPr="00784734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Проверку развернутых ответов участников ГИА осуществляют эксперты ПК, руководствуясь критериями оценивания развернутых ответов и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согласованными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ПК подходами 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 xml:space="preserve">оцениванию развернутых ответов. </w:t>
      </w:r>
    </w:p>
    <w:p w:rsidR="00F129F1" w:rsidRPr="00784734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Развернутые ответы участников ГИА оцениваются двумя экспертами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независимо. Оба эксперта, проверяющие одну работу, независимо друг от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друга выставляют баллы за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каждый развернутый ответ или за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каждую позицию оценивания (если ответ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задание оценивается отдельно по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каждой позиции оценивания) согласно критериям оценивания выполнения заданий с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развернутым ответом.</w:t>
      </w:r>
    </w:p>
    <w:p w:rsidR="00F129F1" w:rsidRPr="00784734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Эксперту, который оценивает развернутые ответы участников ЕГЭ, предоставляется рабочий комплект эксперта ПК, который содержит:</w:t>
      </w:r>
    </w:p>
    <w:p w:rsidR="00F129F1" w:rsidRPr="00090759" w:rsidRDefault="00F129F1" w:rsidP="00F129F1">
      <w:pPr>
        <w:ind w:left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обезличенные бланки-копии (форма 2-РЦОИ) с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изображениями развернутых ответов участников ЕГЭ (далее  – бланк-копия) - не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более 20 штук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одном рабочем комплекте;</w:t>
      </w:r>
    </w:p>
    <w:p w:rsidR="00F129F1" w:rsidRPr="00090759" w:rsidRDefault="00F129F1" w:rsidP="00F129F1">
      <w:pPr>
        <w:ind w:left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бланк-протокол (форма 3-РЦОИ) проверки экспертом развернутых ответов участников ЕГЭ (далее  – бланк-протокол);</w:t>
      </w:r>
    </w:p>
    <w:p w:rsidR="00F129F1" w:rsidRPr="00090759" w:rsidRDefault="00F129F1" w:rsidP="00F129F1">
      <w:pPr>
        <w:ind w:left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при проверке устных ответов по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иностранным языкам - список работ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прослушивание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оценивание, сформированный посредством </w:t>
      </w:r>
      <w:proofErr w:type="gramStart"/>
      <w:r w:rsidRPr="00090759">
        <w:rPr>
          <w:sz w:val="26"/>
          <w:szCs w:val="26"/>
        </w:rPr>
        <w:t>специализированного</w:t>
      </w:r>
      <w:proofErr w:type="gramEnd"/>
      <w:r w:rsidRPr="00090759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и бланк-протокол проверки экспертом заданий с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устным ответом (форма 3-РЦОИ-У). </w:t>
      </w:r>
    </w:p>
    <w:p w:rsidR="00F129F1" w:rsidRPr="00090759" w:rsidRDefault="00F129F1" w:rsidP="00F129F1">
      <w:pPr>
        <w:numPr>
          <w:ilvl w:val="2"/>
          <w:numId w:val="2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090759">
        <w:rPr>
          <w:sz w:val="26"/>
          <w:szCs w:val="26"/>
        </w:rPr>
        <w:t xml:space="preserve">Бланк-копия является изображением Бланка ответов </w:t>
      </w:r>
      <w:r>
        <w:rPr>
          <w:sz w:val="26"/>
          <w:szCs w:val="26"/>
        </w:rPr>
        <w:t>№ </w:t>
      </w:r>
      <w:r w:rsidRPr="00090759">
        <w:rPr>
          <w:sz w:val="26"/>
          <w:szCs w:val="26"/>
        </w:rPr>
        <w:t>2 участника ЕГЭ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дополнительных Бланков ответов </w:t>
      </w:r>
      <w:r>
        <w:rPr>
          <w:sz w:val="26"/>
          <w:szCs w:val="26"/>
        </w:rPr>
        <w:t>№ </w:t>
      </w:r>
      <w:r w:rsidRPr="00090759">
        <w:rPr>
          <w:sz w:val="26"/>
          <w:szCs w:val="26"/>
        </w:rPr>
        <w:t>2, если они заполнялись участником ЕГЭ,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регистрационной части которого указаны:</w:t>
      </w:r>
    </w:p>
    <w:p w:rsidR="00F129F1" w:rsidRPr="00090759" w:rsidRDefault="00F129F1" w:rsidP="00F129F1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код бланка-копии;</w:t>
      </w:r>
    </w:p>
    <w:p w:rsidR="00F129F1" w:rsidRPr="00090759" w:rsidRDefault="00F129F1" w:rsidP="00F129F1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информация об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эксперте, назначенном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проверку бланков-копий рабочего комплекта (фамилия, имя, отчество эксперта, код эксперта);</w:t>
      </w:r>
    </w:p>
    <w:p w:rsidR="00F129F1" w:rsidRPr="00090759" w:rsidRDefault="00F129F1" w:rsidP="00F129F1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наименование учебного предмета;</w:t>
      </w:r>
    </w:p>
    <w:p w:rsidR="00F129F1" w:rsidRPr="00090759" w:rsidRDefault="00F129F1" w:rsidP="00F129F1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дата проведения экзамена;</w:t>
      </w:r>
    </w:p>
    <w:p w:rsidR="00F129F1" w:rsidRPr="00090759" w:rsidRDefault="00F129F1" w:rsidP="00F129F1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номер протокола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номер строки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протоколе, соответствующей данному коду бланка-копии;</w:t>
      </w:r>
    </w:p>
    <w:p w:rsidR="00F129F1" w:rsidRPr="00090759" w:rsidRDefault="00F129F1" w:rsidP="00F129F1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номер варианта КИМ;</w:t>
      </w:r>
    </w:p>
    <w:p w:rsidR="00F129F1" w:rsidRPr="00090759" w:rsidRDefault="00F129F1" w:rsidP="00F129F1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номер страницы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количество заполненных страниц участником ЕГЭ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бланке ответов №2, включая дополнительный Бланк ответов </w:t>
      </w:r>
      <w:r>
        <w:rPr>
          <w:sz w:val="26"/>
          <w:szCs w:val="26"/>
        </w:rPr>
        <w:t>№ </w:t>
      </w:r>
      <w:r w:rsidRPr="00090759">
        <w:rPr>
          <w:sz w:val="26"/>
          <w:szCs w:val="26"/>
        </w:rPr>
        <w:t>2;</w:t>
      </w:r>
    </w:p>
    <w:p w:rsidR="00F129F1" w:rsidRPr="00090759" w:rsidRDefault="00F129F1" w:rsidP="00F129F1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код региона;</w:t>
      </w:r>
    </w:p>
    <w:p w:rsidR="00F129F1" w:rsidRPr="00090759" w:rsidRDefault="00F129F1" w:rsidP="00F129F1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баллы, выставленные двумя экспертами, ранее проверявшими данную работу (в случае, когда работа направлена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третью проверку).</w:t>
      </w:r>
    </w:p>
    <w:p w:rsidR="00F129F1" w:rsidRPr="00090759" w:rsidRDefault="00F129F1" w:rsidP="00F129F1">
      <w:pPr>
        <w:numPr>
          <w:ilvl w:val="2"/>
          <w:numId w:val="2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Бланк-протокол представляет собой таблицу,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которой указаны коды бланков-копий полученного рабочего комплекта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поля для внесения экспертом баллов за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ответы. </w:t>
      </w:r>
      <w:proofErr w:type="gramStart"/>
      <w:r w:rsidRPr="00090759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регистрационной части бланка-протокола указаны:</w:t>
      </w:r>
      <w:proofErr w:type="gramEnd"/>
    </w:p>
    <w:p w:rsidR="00F129F1" w:rsidRPr="00090759" w:rsidRDefault="00F129F1" w:rsidP="00F129F1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информация об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эксперте, назначенном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проверку бланков (фамилия, имя, отчество эксперта, код эксперта);</w:t>
      </w:r>
    </w:p>
    <w:p w:rsidR="00F129F1" w:rsidRPr="00090759" w:rsidRDefault="00F129F1" w:rsidP="00F129F1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наименование учебного предмета;</w:t>
      </w:r>
    </w:p>
    <w:p w:rsidR="00F129F1" w:rsidRPr="00090759" w:rsidRDefault="00F129F1" w:rsidP="00F129F1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дата проведения экзамена;</w:t>
      </w:r>
    </w:p>
    <w:p w:rsidR="00F129F1" w:rsidRPr="00090759" w:rsidRDefault="00F129F1" w:rsidP="00F129F1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номер протокола;</w:t>
      </w:r>
    </w:p>
    <w:p w:rsidR="00F129F1" w:rsidRPr="00090759" w:rsidRDefault="00F129F1" w:rsidP="00F129F1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код региона.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left" w:pos="1418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lastRenderedPageBreak/>
        <w:t>Бланк-протокол является машиночитаемой формой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подлежит обязательной автоматизированной обработке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РЦОИ.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Рабочие комплекты формируются (распечатываются) для каждого эксперта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РЦОИ с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учетом графика работы ПК.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Председатель ПК (или его помощник (и) – для больших ПК, размещенных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нескольких помещениях)  получает готовые  рабочие комплекты экспертов от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руководителя РЦОИ. 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Эксперты проводят проверку работ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выставляют баллы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соответствующие поля бланка-протокола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критериями оценивания развернутых ответов.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В случае возникновения у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эксперта затруднения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оценивании работы эксперт может получить консультацию у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председателя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или консультирующего эксперта, назначенного председателем ПК.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Номера наиболее характерных работ, вызвавших затруднения при оценивании, эксперт выписывает для передачи председателю ПК.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После завершения проверки работ каждого рабочего комплекта заполненный бланк-протокол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бланки-копии рабочего комплекта председатель ПК (или его помощник (и) – для больших ПК) передают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РЦОИ для дальнейшей обработки. После проведения автоматизированной обработки бланков-протоколов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РЦОИ могут быть выявлены работы, требующие третьей проверки. 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Работа направляется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третью проверку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случае существенного расхождения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баллах, выставленных двумя экспертами:</w:t>
      </w:r>
    </w:p>
    <w:p w:rsidR="00F129F1" w:rsidRPr="00090759" w:rsidRDefault="00F129F1" w:rsidP="00F129F1">
      <w:pPr>
        <w:numPr>
          <w:ilvl w:val="2"/>
          <w:numId w:val="2"/>
        </w:numPr>
        <w:tabs>
          <w:tab w:val="clear" w:pos="1560"/>
        </w:tabs>
        <w:ind w:left="567" w:firstLine="0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существенное расхождение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баллах по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каждому учебному предмету определяется критериями оценивания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закладывается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алгоритм автоматизированной обработки;</w:t>
      </w:r>
    </w:p>
    <w:p w:rsidR="00F129F1" w:rsidRPr="00784734" w:rsidRDefault="00F129F1" w:rsidP="00F129F1">
      <w:pPr>
        <w:numPr>
          <w:ilvl w:val="2"/>
          <w:numId w:val="2"/>
        </w:numPr>
        <w:tabs>
          <w:tab w:val="clear" w:pos="1560"/>
          <w:tab w:val="num" w:pos="284"/>
          <w:tab w:val="num" w:pos="426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проверку работы, назначенной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третью проверку, может осуществлять только эксперт, которому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текущем году присвоен статус «ведущий эксперт» или «старший эксперт», ранее не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проверявший данную экзаменационную работу;</w:t>
      </w:r>
    </w:p>
    <w:p w:rsidR="00F129F1" w:rsidRPr="00784734" w:rsidRDefault="00F129F1" w:rsidP="00F129F1">
      <w:pPr>
        <w:numPr>
          <w:ilvl w:val="2"/>
          <w:numId w:val="2"/>
        </w:numPr>
        <w:tabs>
          <w:tab w:val="clear" w:pos="1560"/>
          <w:tab w:val="num" w:pos="426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на бланке-копии работы, назначенной на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третью проверку,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регистрационной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 по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тем позициям оценивания, которые указаны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бланке-протоколе. Позиции оценивания, которые третий эксперт не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проверяет,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протоколе заполнены символами «Х».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На протяжении периода работы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председатель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и (или) его заместитель фиксирует у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себя номера работ, вызвавших наибольшие разногласия или трудности у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экспертов при оценивании (на основании работ, проверенных собственноручно и/или работ, номера которых выписывали эксперты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процессе оценивания). Информацию 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номерах таких работ необходимо будет передать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ФИПИ после получения соответствующего запроса. Эти работы будут проанализированы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использованы для совершенствования критериев оценивания, проведения обучения экспертов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и согласования подходов 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оцениванию экзаменационных работ.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На протяжении периода работы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председатель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запрашивает у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руководителя РЦОИ статистическую информацию 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ходе проверки развернутых ответов. При этом председателю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предоставляется оперативная информация 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количестве проверенных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текущий момент времени  работ один, два или три </w:t>
      </w:r>
      <w:r w:rsidRPr="00090759">
        <w:rPr>
          <w:sz w:val="26"/>
          <w:szCs w:val="26"/>
        </w:rPr>
        <w:lastRenderedPageBreak/>
        <w:t>раза, 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количестве работ, ожидающих первой, второй или третьей проверки, 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также 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количестве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проценте работ, назначенных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третью проверку. Результаты статистических отчетов председатель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использует для оптимизации организации работы ПК. </w:t>
      </w:r>
    </w:p>
    <w:p w:rsidR="00F129F1" w:rsidRPr="00784734" w:rsidRDefault="00F129F1" w:rsidP="00F129F1">
      <w:pPr>
        <w:tabs>
          <w:tab w:val="num" w:pos="284"/>
        </w:tabs>
        <w:ind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При необходимости председатель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дает дополнительные разъяснения по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вопросам согласованности работы ПК. Председатель ПК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вправе отстранить от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работы экспертов, систематически допускающих ошибки в</w:t>
      </w:r>
      <w:r>
        <w:rPr>
          <w:sz w:val="26"/>
          <w:szCs w:val="26"/>
        </w:rPr>
        <w:t> </w:t>
      </w:r>
      <w:r w:rsidRPr="00784734">
        <w:rPr>
          <w:sz w:val="26"/>
          <w:szCs w:val="26"/>
        </w:rPr>
        <w:t>оценивании работ или нарушающих процедуру проведения проверки.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При проведении межрегиональной перекрестной проверки изображения работ участников ЕГЭ, полученные из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другого субъекта Российской Федерации, проверяются экспертами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в общей очереди работ участников ЕГЭ. При этом членам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не предоставляется информация 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том, работы из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какого субъекта Российской Федерации были назначены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проверку экспертам ПК.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На протяжении периода работы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с момента получения критериев оценивания развернутых ответов из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РЦОИ до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окончания проверки развернутых ответов участников ГИА все помещения,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которых работает ПК, должны быть обеспечены системой непрерывного видеонаблюдения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видеозаписи.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При покидании помещений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каждый член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сдает все материалы,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том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Организация видеонаблюдения и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видеозаписи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помещениях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обеспечивается ОИВ.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Проверка развернутых ответов участников ГИА считается завершенной, когда все работы проверены экспертами необходимое количество раз (определяется ПО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РЦОИ), 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результаты оценивания из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бланков-протоколов проанализированы ПО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РЦОИ.</w:t>
      </w:r>
    </w:p>
    <w:p w:rsidR="00F129F1" w:rsidRPr="00090759" w:rsidRDefault="00F129F1" w:rsidP="00F129F1">
      <w:pPr>
        <w:numPr>
          <w:ilvl w:val="1"/>
          <w:numId w:val="2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По завершении работы каждый эксперт ПК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сдает все материалы,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том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C300D4" w:rsidRDefault="00C300D4"/>
    <w:sectPr w:rsidR="00C300D4" w:rsidSect="00C3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306"/>
    <w:multiLevelType w:val="multilevel"/>
    <w:tmpl w:val="BF48D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F1"/>
    <w:rsid w:val="00C300D4"/>
    <w:rsid w:val="00F1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F129F1"/>
    <w:pPr>
      <w:keepNext/>
      <w:keepLines/>
      <w:spacing w:before="60" w:after="120"/>
      <w:ind w:left="360" w:hanging="360"/>
      <w:jc w:val="center"/>
      <w:outlineLvl w:val="0"/>
    </w:pPr>
    <w:rPr>
      <w:rFonts w:eastAsia="Calibri"/>
      <w:b/>
      <w:bCs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9"/>
    <w:qFormat/>
    <w:rsid w:val="00F129F1"/>
    <w:pPr>
      <w:keepNext/>
      <w:keepLines/>
      <w:tabs>
        <w:tab w:val="num" w:pos="0"/>
      </w:tabs>
      <w:spacing w:before="60" w:after="120"/>
      <w:outlineLvl w:val="1"/>
    </w:pPr>
    <w:rPr>
      <w:rFonts w:eastAsia="Calibri"/>
      <w:b/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9F1"/>
    <w:rPr>
      <w:rFonts w:ascii="Times New Roman" w:eastAsia="Calibri" w:hAnsi="Times New Roman" w:cs="Times New Roman"/>
      <w:b/>
      <w:bCs/>
      <w:sz w:val="32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29F1"/>
    <w:rPr>
      <w:rFonts w:ascii="Times New Roman" w:eastAsia="Calibri" w:hAnsi="Times New Roman" w:cs="Times New Roman"/>
      <w:b/>
      <w:bCs/>
      <w:iCs/>
      <w:sz w:val="28"/>
      <w:szCs w:val="26"/>
      <w:lang w:eastAsia="ru-RU"/>
    </w:rPr>
  </w:style>
  <w:style w:type="paragraph" w:styleId="a3">
    <w:name w:val="Normal (Web)"/>
    <w:basedOn w:val="a"/>
    <w:uiPriority w:val="99"/>
    <w:rsid w:val="00F129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10988</Characters>
  <Application>Microsoft Office Word</Application>
  <DocSecurity>0</DocSecurity>
  <Lines>91</Lines>
  <Paragraphs>25</Paragraphs>
  <ScaleCrop>false</ScaleCrop>
  <Company>office 2007 rus ent: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2016-01-25T04:26:00Z</dcterms:created>
  <dcterms:modified xsi:type="dcterms:W3CDTF">2016-01-25T04:26:00Z</dcterms:modified>
</cp:coreProperties>
</file>