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BC" w:rsidRPr="004F2CBC" w:rsidRDefault="004F2CBC" w:rsidP="004F2CBC">
      <w:pPr>
        <w:spacing w:after="360" w:line="240" w:lineRule="auto"/>
        <w:ind w:right="3000"/>
        <w:textAlignment w:val="baseline"/>
        <w:outlineLvl w:val="1"/>
        <w:rPr>
          <w:rFonts w:ascii="pt_sans_narrowbold" w:eastAsia="Times New Roman" w:hAnsi="pt_sans_narrowbold" w:cs="Times New Roman"/>
          <w:caps/>
          <w:color w:val="323232"/>
          <w:sz w:val="39"/>
          <w:szCs w:val="39"/>
          <w:lang w:eastAsia="ru-RU"/>
        </w:rPr>
      </w:pPr>
      <w:r w:rsidRPr="004F2CBC">
        <w:rPr>
          <w:rFonts w:ascii="pt_sans_narrowbold" w:eastAsia="Times New Roman" w:hAnsi="pt_sans_narrowbold" w:cs="Times New Roman"/>
          <w:caps/>
          <w:color w:val="323232"/>
          <w:sz w:val="39"/>
          <w:szCs w:val="39"/>
          <w:lang w:eastAsia="ru-RU"/>
        </w:rPr>
        <w:t>ФЕДЕРАЛЬНЫЙ ГОСУДАРСТВЕННЫЙ ОБРАЗОВАТЕЛЬНЫЙ СТАНДАРТ ОСНОВНОГО ОБЩЕГО ОБРАЗОВАНИЯ (5-9 КЛ.)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(утвержден приказом Минобрнауки России</w:t>
      </w:r>
      <w:r w:rsidRPr="004F2CBC">
        <w:rPr>
          <w:rFonts w:ascii="inherit" w:eastAsia="Times New Roman" w:hAnsi="inherit" w:cs="Arial"/>
          <w:i/>
          <w:iCs/>
          <w:color w:val="383E44"/>
          <w:sz w:val="21"/>
          <w:lang w:eastAsia="ru-RU"/>
        </w:rPr>
        <w:t> </w:t>
      </w:r>
      <w:hyperlink r:id="rId5" w:history="1">
        <w:r w:rsidRPr="004F2CBC">
          <w:rPr>
            <w:rFonts w:ascii="inherit" w:eastAsia="Times New Roman" w:hAnsi="inherit" w:cs="Arial"/>
            <w:i/>
            <w:iCs/>
            <w:color w:val="319ED6"/>
            <w:sz w:val="21"/>
            <w:lang w:eastAsia="ru-RU"/>
          </w:rPr>
          <w:t>от 17 декабря 2010 г. № 1897</w:t>
        </w:r>
      </w:hyperlink>
      <w:r w:rsidRPr="004F2CBC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)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I. Общие  положения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6" w:anchor="_ftn1" w:history="1">
        <w:r w:rsidRPr="004F2CBC">
          <w:rPr>
            <w:rFonts w:ascii="inherit" w:eastAsia="Times New Roman" w:hAnsi="inherit" w:cs="Arial"/>
            <w:color w:val="319ED6"/>
            <w:sz w:val="21"/>
            <w:lang w:eastAsia="ru-RU"/>
          </w:rPr>
          <w:t>[1]</w:t>
        </w:r>
      </w:hyperlink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Стандарт включает в себя требования: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7" w:anchor="_ftn2" w:history="1">
        <w:r w:rsidRPr="004F2CBC">
          <w:rPr>
            <w:rFonts w:ascii="inherit" w:eastAsia="Times New Roman" w:hAnsi="inherit" w:cs="Arial"/>
            <w:color w:val="319ED6"/>
            <w:sz w:val="21"/>
            <w:lang w:eastAsia="ru-RU"/>
          </w:rPr>
          <w:t>[2]</w:t>
        </w:r>
      </w:hyperlink>
      <w:r w:rsidRPr="004F2CBC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 инвалидов, а также значимость ступени общего образования для дальнейшего развития обучающихся.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2. 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4. Стандарт направлен на обеспечение: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формирования российской гражданской идентичности обучающихся;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доступности получения  качественного основного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духовно-нравственного развития, воспитания обучающихся и сохранения их здоровья;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lastRenderedPageBreak/>
        <w:t>развития государственно-общественного управления в образовании; 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5. В основе Стандарта лежит системно-деятельностный подход, который обеспечивает: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готовности к саморазвитию и непрерывному образованию;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активную учебно-познавательную деятельность обучающихся;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6. Стандарт ориентирован на становление личностных характеристик</w:t>
      </w:r>
      <w:r w:rsidRPr="004F2CBC">
        <w:rPr>
          <w:rFonts w:ascii="inherit" w:eastAsia="Times New Roman" w:hAnsi="inherit" w:cs="Arial"/>
          <w:b/>
          <w:bCs/>
          <w:i/>
          <w:i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выпускника («портрет выпускника основной школы»):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7. Стандарт должен быть положен  в основу деятельности: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lastRenderedPageBreak/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II. Требования к результатам освоения  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br/>
        <w:t>основной образовательной программы основного общего образования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8. 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личностным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метапредметным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предметным,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9. 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Личностные результаты освоения основной образовательной программы основного общего образования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должны отражать: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 xml:space="preserve"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lastRenderedPageBreak/>
        <w:t>многонационального российского общества; воспитание чувства ответственности и долга перед Родиной;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10. 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Метапредметные результаты освоения основной образовательной программы основного общего образования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должны отражать: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lastRenderedPageBreak/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8) смысловое чтение;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11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Предметные результаты освоения основной образовательной программы основного общего образования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11.1. 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Филология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lastRenderedPageBreak/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Предметные результаты изучения предметной области «Филология» должны отражать: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Русский язык. Родной язык: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Литература. Родная  литература: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Иностранный язык. Второй иностранный язык: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достижение допорогового уровня иноязычной коммуникативной компетенции;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11.2. 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Общественно-научные предметы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Изучение предметной области «Общественно-научные предметы» должно обеспечить: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мировоззренческой,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История России. Всеобщая история: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Обществознание: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География: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4F2CBC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,</w:t>
      </w:r>
      <w:r w:rsidRPr="004F2CBC">
        <w:rPr>
          <w:rFonts w:ascii="inherit" w:eastAsia="Times New Roman" w:hAnsi="inherit" w:cs="Arial"/>
          <w:i/>
          <w:i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 том числе задачи охраны окружающей среды и рационального природопользования;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4F2CBC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,</w:t>
      </w:r>
      <w:r w:rsidRPr="004F2CBC">
        <w:rPr>
          <w:rFonts w:ascii="inherit" w:eastAsia="Times New Roman" w:hAnsi="inherit" w:cs="Arial"/>
          <w:i/>
          <w:i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 том числе её экологических параметров;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11.3. 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 и информатика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Изучение предметной области «Математика и информатика» должно  обеспечить: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осознание значения математики и информатики в повседневной жизни человека;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понимание роли информационных процессов в современном мире;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Математика. Алгебра. Геометрия. Информатика: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11.4.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Основы духовно-нравственной  культуры народов России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11.5. 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Естественно-научные предметы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Изучение предметной области «Естественно-научные предметы»  должно обеспечить: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целостной научной картины мира;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овладение  научным подходом к решению различных задач;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воспитание ответственного и бережного отношения к окружающей среде;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овладение  экосистемной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осознание значимости концепции устойчивого развития;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«Естественно-научные  предметы»  должны отражать: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Физика: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Биология: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естественно-научных представлений о картине мира;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Химия: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11.6. 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Искусство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Изучение предметной области «Искусство» должно обеспечить: 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«Искусство» должны отражать: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Изобразительное искусство: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Музыка: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11.7. 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Технология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Изучение предметной области «Технология» должно обеспечить: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Предметные результаты изучения предметной области «Технология» должны отражать: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11.8. 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Основы безопасности жизнедеятельности: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формирование убеждения в необходимости безопасного и здорового образа жизни;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понимание необходимости подготовки граждан к защите Отечества;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7) формирование антиэкстремистской и антитеррористической личностной позиции;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11) умение оказать первую помощь пострадавшим;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 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Внеурочная деятельность</w:t>
      </w:r>
      <w:r w:rsidRPr="004F2CBC">
        <w:rPr>
          <w:rFonts w:ascii="inherit" w:eastAsia="Times New Roman" w:hAnsi="inherit" w:cs="Arial"/>
          <w:i/>
          <w:i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Целевой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Целевой раздел включает: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пояснительную записку;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Содержательный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программы отдельных учебных предметов, курсов, в том числе интегрированных;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программу коррекционной работы</w:t>
      </w:r>
      <w:hyperlink r:id="rId8" w:anchor="_ftn3" w:history="1">
        <w:r w:rsidRPr="004F2CBC">
          <w:rPr>
            <w:rFonts w:ascii="inherit" w:eastAsia="Times New Roman" w:hAnsi="inherit" w:cs="Arial"/>
            <w:color w:val="319ED6"/>
            <w:sz w:val="21"/>
            <w:lang w:eastAsia="ru-RU"/>
          </w:rPr>
          <w:t>[3]</w:t>
        </w:r>
      </w:hyperlink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Организационный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Организационный раздел включает: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внеурочная деятельность.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4F2CBC">
        <w:rPr>
          <w:rFonts w:ascii="inherit" w:eastAsia="Times New Roman" w:hAnsi="inherit" w:cs="Arial"/>
          <w:i/>
          <w:i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должна раскрывать: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18.1.2. Планируемые результаты освоения обучающимися основной образовательной программы основного общего образования должны: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18.1.3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Система оценки достижения планируемых результатов</w:t>
      </w:r>
      <w:r w:rsidRPr="004F2CBC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освоения основной образовательной программы основного общего образования должна: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обеспечивать комплексный подход к оценке результатов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18.2. </w:t>
      </w:r>
      <w:r w:rsidRPr="004F2CBC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Содержательный</w:t>
      </w:r>
      <w:r w:rsidRPr="004F2CBC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раздел основной образовательной программы основного общего образования: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18.2.1. 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Программа развития универсальных учебных действий 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(программа формирования общеучебных умений и навыков) на ступени основного общего образования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(далее – Программа) должна быть направлена на: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Программа должна обеспечивать: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развитие у обучающихся способности к саморазвитию и самосовершенствованию;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Программа должна содержать: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цели и задачи программы, описание ее места и роли в реализации требований Стандарта;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типовые задачи применения универсальных учебных действий;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 перечень и описание основных элементов ИКТ-компетенций и инструментов их использования;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Программы отдельных учебных предметов, курсов должны содержать: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общую характеристику учебного предмета, курса;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описание места учебного предмета, курса в учебном плане;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личностные, метапредметные и предметные результаты освоения конкретного учебного предмета, курса;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 содержание учебного предмета, курса;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 тематическое планирование с определением основных видов учебной деятельности;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8) планируемые результаты изучения учебного предмета, курса.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18.2.3. Программа воспитания и социализации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 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4F2CBC">
        <w:rPr>
          <w:rFonts w:ascii="inherit" w:eastAsia="Times New Roman" w:hAnsi="inherit" w:cs="Arial"/>
          <w:i/>
          <w:i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основного общего образования; формирование экологической культуры. 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у обучающихся мотивации к труду, потребности к приобретению профессии;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Программа должна содержать: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18.2.4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Программа коррекционной работы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(далее – Программа)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Программа должна обеспечивать: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Программа должна содержать: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цели и задачи коррекционной работы с обучающимися на ступени основного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5) планируемые результаты коррекционной работы.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18.3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Организационный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раздел основной образовательной программы: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18.3.1. 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Учебный план основного общего образования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r:id="rId9" w:anchor="_ftn4" w:history="1">
        <w:r w:rsidRPr="004F2CBC">
          <w:rPr>
            <w:rFonts w:ascii="inherit" w:eastAsia="Times New Roman" w:hAnsi="inherit" w:cs="Arial"/>
            <w:color w:val="319ED6"/>
            <w:sz w:val="21"/>
            <w:lang w:eastAsia="ru-RU"/>
          </w:rPr>
          <w:t>[4]</w:t>
        </w:r>
      </w:hyperlink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 учебный план входят следующие обязательные предметные области и учебные предметы: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филология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общественно-научные предметы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(история России, всеобщая история, обществознание, география);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 и информатика (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математика, алгебра, геометрия, информатика);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основы духовно-нравственной культуры народов России;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естественно-научные предметы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(физика, биология, химия);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искусство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(изобразительное искусство, музыка);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технология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(технология);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(физическая культура, основы безопасности жизнедеятельности).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Количество учебных занятий за 5 лет не может составлять менее 5267 часов и более 6020  часов.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18.3.2.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Система условий реализации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Система условий должна содержать: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механизмы достижения целевых ориентиров в системе условий;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сетевой график (дорожную карту) по формированию необходимой системы условий;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контроль состояния системы условий.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 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обновления содержания основной образовательной программы основного</w:t>
      </w:r>
      <w:r w:rsidRPr="004F2CBC">
        <w:rPr>
          <w:rFonts w:ascii="inherit" w:eastAsia="Times New Roman" w:hAnsi="inherit" w:cs="Arial"/>
          <w:i/>
          <w:i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22. 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4F2CBC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включают: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уровень квалификации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педагогических и иных работников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образовательного учреждения;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Уровень квалификации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 системе образования должны быть созданы условия для: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23. 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4F2CBC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должны: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10" w:anchor="_ftn5" w:history="1">
        <w:r w:rsidRPr="004F2CBC">
          <w:rPr>
            <w:rFonts w:ascii="inherit" w:eastAsia="Times New Roman" w:hAnsi="inherit" w:cs="Arial"/>
            <w:color w:val="319ED6"/>
            <w:sz w:val="21"/>
            <w:lang w:eastAsia="ru-RU"/>
          </w:rPr>
          <w:t>[5]</w:t>
        </w:r>
      </w:hyperlink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Норматив финансового обеспечения  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11" w:anchor="_ftn6" w:history="1">
        <w:r w:rsidRPr="004F2CBC">
          <w:rPr>
            <w:rFonts w:ascii="inherit" w:eastAsia="Times New Roman" w:hAnsi="inherit" w:cs="Arial"/>
            <w:color w:val="319ED6"/>
            <w:sz w:val="21"/>
            <w:lang w:eastAsia="ru-RU"/>
          </w:rPr>
          <w:t>[6]</w:t>
        </w:r>
      </w:hyperlink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hyperlink r:id="rId12" w:anchor="_ftn7" w:history="1">
        <w:r w:rsidRPr="004F2CBC">
          <w:rPr>
            <w:rFonts w:ascii="inherit" w:eastAsia="Times New Roman" w:hAnsi="inherit" w:cs="Arial"/>
            <w:color w:val="319ED6"/>
            <w:sz w:val="21"/>
            <w:lang w:eastAsia="ru-RU"/>
          </w:rPr>
          <w:t>[7]</w:t>
        </w:r>
      </w:hyperlink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3" w:anchor="_ftn8" w:history="1">
        <w:r w:rsidRPr="004F2CBC">
          <w:rPr>
            <w:rFonts w:ascii="inherit" w:eastAsia="Times New Roman" w:hAnsi="inherit" w:cs="Arial"/>
            <w:color w:val="319ED6"/>
            <w:sz w:val="21"/>
            <w:lang w:eastAsia="ru-RU"/>
          </w:rPr>
          <w:t>[8]</w:t>
        </w:r>
      </w:hyperlink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14" w:anchor="_ftn9" w:history="1">
        <w:r w:rsidRPr="004F2CBC">
          <w:rPr>
            <w:rFonts w:ascii="inherit" w:eastAsia="Times New Roman" w:hAnsi="inherit" w:cs="Arial"/>
            <w:color w:val="319ED6"/>
            <w:sz w:val="21"/>
            <w:lang w:eastAsia="ru-RU"/>
          </w:rPr>
          <w:t>[9]</w:t>
        </w:r>
      </w:hyperlink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24. 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Материально-технические условия реализации основной образовательной программы основного общего образования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должны обеспечивать: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2) соблюдение: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требований к социально-бытовым условиям (оборудование в  учебных кабинетах и ,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строительных норм и правил;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требований пожарной и электробезопасности;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требований к транспортному обслуживанию обучающихся;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своевременных сроков и необходимых объемов текущего и капитального ремонта;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 образовательного процесса.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лингафонные кабинеты, обеспечивающие изучение иностранных языков;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медиатекой;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помещения медицинского назначения;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гардеробы, санузлы, места личной гигиены;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участок (территорию) с необходимым набором оборудованных зон;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мебель, офисное оснащение и хозяйственный инвентарь.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выпуска школьных печатных изданий, работы школьного телевидения,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Все указанные виды деятельности должны быть обеспечены расходными материалами.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25. 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26. Информационно-методические условия реализации основной образовательной программы общего образования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должны обеспечиваться современной информационно-образовательной средой.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Информационно-образовательная среда образовательного учреждения</w:t>
      </w:r>
      <w:r w:rsidRPr="004F2CBC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Информационно-образовательная  среда образовательного учреждения должна обеспечивать: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информационно-методическую поддержку образовательного  процесса;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планирование образовательного процесса и его ресурсного  обеспечения;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мониторинг и фиксацию хода и результатов образовательного процесса;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мониторинг здоровья обучающихся;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</w:t>
      </w:r>
      <w:r w:rsidRPr="004F2CBC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4F2CBC" w:rsidRPr="004F2CBC" w:rsidRDefault="004F2CBC" w:rsidP="004F2CBC">
      <w:pPr>
        <w:spacing w:after="312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 </w:t>
      </w:r>
    </w:p>
    <w:p w:rsidR="004F2CBC" w:rsidRPr="004F2CBC" w:rsidRDefault="00FC6173" w:rsidP="004F2CBC">
      <w:pPr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C6173">
        <w:rPr>
          <w:rFonts w:ascii="Arial" w:eastAsia="Times New Roman" w:hAnsi="Arial" w:cs="Arial"/>
          <w:color w:val="383E44"/>
          <w:sz w:val="21"/>
          <w:szCs w:val="21"/>
          <w:lang w:eastAsia="ru-RU"/>
        </w:rPr>
        <w:pict>
          <v:rect id="_x0000_i1025" style="width:0;height:.75pt" o:hralign="center" o:hrstd="t" o:hrnoshade="t" o:hr="t" fillcolor="#d9dcdf" stroked="f"/>
        </w:pic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4F2CBC" w:rsidRPr="004F2CBC" w:rsidRDefault="00FC6173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hyperlink r:id="rId15" w:anchor="_ftnref2" w:history="1">
        <w:r w:rsidR="004F2CBC" w:rsidRPr="004F2CBC">
          <w:rPr>
            <w:rFonts w:ascii="inherit" w:eastAsia="Times New Roman" w:hAnsi="inherit" w:cs="Arial"/>
            <w:color w:val="319ED6"/>
            <w:sz w:val="21"/>
            <w:lang w:eastAsia="ru-RU"/>
          </w:rPr>
          <w:t>[2]</w:t>
        </w:r>
      </w:hyperlink>
      <w:r w:rsidR="004F2CBC" w:rsidRPr="004F2CBC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="004F2CBC"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</w:p>
    <w:p w:rsidR="004F2CBC" w:rsidRPr="004F2CBC" w:rsidRDefault="00FC6173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hyperlink r:id="rId16" w:anchor="_ftnref5" w:history="1">
        <w:r w:rsidR="004F2CBC" w:rsidRPr="004F2CBC">
          <w:rPr>
            <w:rFonts w:ascii="inherit" w:eastAsia="Times New Roman" w:hAnsi="inherit" w:cs="Arial"/>
            <w:color w:val="319ED6"/>
            <w:sz w:val="21"/>
            <w:lang w:eastAsia="ru-RU"/>
          </w:rPr>
          <w:t>[5]</w:t>
        </w:r>
      </w:hyperlink>
      <w:r w:rsidR="004F2CBC" w:rsidRPr="004F2CBC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="004F2CBC"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4F2CBC" w:rsidRPr="004F2CBC" w:rsidRDefault="00FC6173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hyperlink r:id="rId17" w:anchor="_ftnref6" w:history="1">
        <w:r w:rsidR="004F2CBC" w:rsidRPr="004F2CBC">
          <w:rPr>
            <w:rFonts w:ascii="inherit" w:eastAsia="Times New Roman" w:hAnsi="inherit" w:cs="Arial"/>
            <w:color w:val="319ED6"/>
            <w:sz w:val="21"/>
            <w:lang w:eastAsia="ru-RU"/>
          </w:rPr>
          <w:t>[6]</w:t>
        </w:r>
      </w:hyperlink>
      <w:r w:rsidR="004F2CBC" w:rsidRPr="004F2CBC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="004F2CBC"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4F2CBC" w:rsidRPr="004F2CBC" w:rsidRDefault="00FC6173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hyperlink r:id="rId18" w:anchor="_ftnref7" w:history="1">
        <w:r w:rsidR="004F2CBC" w:rsidRPr="004F2CBC">
          <w:rPr>
            <w:rFonts w:ascii="inherit" w:eastAsia="Times New Roman" w:hAnsi="inherit" w:cs="Arial"/>
            <w:color w:val="319ED6"/>
            <w:sz w:val="21"/>
            <w:lang w:eastAsia="ru-RU"/>
          </w:rPr>
          <w:t>[7]</w:t>
        </w:r>
      </w:hyperlink>
      <w:r w:rsidR="004F2CBC" w:rsidRPr="004F2CBC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="004F2CBC"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  <w:p w:rsidR="004F2CBC" w:rsidRPr="004F2CBC" w:rsidRDefault="00FC6173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hyperlink r:id="rId19" w:anchor="_ftnref8" w:history="1">
        <w:r w:rsidR="004F2CBC" w:rsidRPr="004F2CBC">
          <w:rPr>
            <w:rFonts w:ascii="inherit" w:eastAsia="Times New Roman" w:hAnsi="inherit" w:cs="Arial"/>
            <w:color w:val="319ED6"/>
            <w:sz w:val="21"/>
            <w:lang w:eastAsia="ru-RU"/>
          </w:rPr>
          <w:t>[8]</w:t>
        </w:r>
      </w:hyperlink>
      <w:r w:rsidR="004F2CBC" w:rsidRPr="004F2CBC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="004F2CBC"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Пункт 9 статьи 41 Закона Российской Федерации «Об образовании» (Со</w:t>
      </w:r>
      <w:r w:rsidR="004F2CBC"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4F2CBC" w:rsidRPr="004F2CBC" w:rsidRDefault="00FC6173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383E44"/>
          <w:sz w:val="21"/>
          <w:szCs w:val="21"/>
          <w:lang w:eastAsia="ru-RU"/>
        </w:rPr>
      </w:pPr>
      <w:hyperlink r:id="rId20" w:anchor="_ftnref9" w:history="1">
        <w:r w:rsidR="004F2CBC" w:rsidRPr="004F2CBC">
          <w:rPr>
            <w:rFonts w:ascii="inherit" w:eastAsia="Times New Roman" w:hAnsi="inherit" w:cs="Arial"/>
            <w:color w:val="319ED6"/>
            <w:sz w:val="21"/>
            <w:lang w:eastAsia="ru-RU"/>
          </w:rPr>
          <w:t>[9]</w:t>
        </w:r>
      </w:hyperlink>
      <w:r w:rsidR="004F2CBC" w:rsidRPr="004F2CBC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="004F2CBC"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t>Пункт 4 статьи 41 Закона Российской Федерации «Об образовании» (Со</w:t>
      </w:r>
      <w:r w:rsidR="004F2CBC" w:rsidRPr="004F2CBC">
        <w:rPr>
          <w:rFonts w:ascii="inherit" w:eastAsia="Times New Roman" w:hAnsi="inherit" w:cs="Arial"/>
          <w:color w:val="383E44"/>
          <w:sz w:val="21"/>
          <w:szCs w:val="21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4F2CBC" w:rsidRPr="004F2CBC" w:rsidRDefault="00FC6173" w:rsidP="004F2CB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" w:history="1">
        <w:r w:rsidR="004F2CBC" w:rsidRPr="004F2CBC">
          <w:rPr>
            <w:rFonts w:ascii="inherit" w:eastAsia="Times New Roman" w:hAnsi="inherit" w:cs="Arial"/>
            <w:color w:val="B4B8BE"/>
            <w:sz w:val="17"/>
            <w:lang w:eastAsia="ru-RU"/>
          </w:rPr>
          <w:t>Версия для печати</w:t>
        </w:r>
      </w:hyperlink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8C96A0"/>
          <w:sz w:val="17"/>
          <w:szCs w:val="17"/>
          <w:lang w:eastAsia="ru-RU"/>
        </w:rPr>
      </w:pPr>
      <w:r w:rsidRPr="004F2CBC">
        <w:rPr>
          <w:rFonts w:ascii="inherit" w:eastAsia="Times New Roman" w:hAnsi="inherit" w:cs="Arial"/>
          <w:color w:val="8C96A0"/>
          <w:sz w:val="17"/>
          <w:lang w:eastAsia="ru-RU"/>
        </w:rPr>
        <w:t>17 декабря 2010 года, 10:24Последнее изменение: 22 июня 2015 года, 17:57</w:t>
      </w:r>
    </w:p>
    <w:p w:rsidR="004F2CBC" w:rsidRPr="004F2CBC" w:rsidRDefault="004F2CBC" w:rsidP="004F2CBC">
      <w:pPr>
        <w:spacing w:after="0" w:line="240" w:lineRule="auto"/>
        <w:textAlignment w:val="baseline"/>
        <w:rPr>
          <w:rFonts w:ascii="inherit" w:eastAsia="Times New Roman" w:hAnsi="inherit" w:cs="Arial"/>
          <w:color w:val="8C96A0"/>
          <w:sz w:val="17"/>
          <w:szCs w:val="17"/>
          <w:lang w:eastAsia="ru-RU"/>
        </w:rPr>
      </w:pPr>
      <w:r w:rsidRPr="004F2CBC">
        <w:rPr>
          <w:rFonts w:ascii="inherit" w:eastAsia="Times New Roman" w:hAnsi="inherit" w:cs="Arial"/>
          <w:color w:val="383E44"/>
          <w:sz w:val="17"/>
          <w:lang w:eastAsia="ru-RU"/>
        </w:rPr>
        <w:t>Постоянная ссылка:</w:t>
      </w:r>
      <w:r w:rsidRPr="004F2CBC">
        <w:rPr>
          <w:rFonts w:ascii="inherit" w:eastAsia="Times New Roman" w:hAnsi="inherit" w:cs="Arial"/>
          <w:color w:val="8C96A0"/>
          <w:sz w:val="17"/>
          <w:lang w:eastAsia="ru-RU"/>
        </w:rPr>
        <w:t> </w:t>
      </w:r>
      <w:r w:rsidRPr="004F2CBC">
        <w:rPr>
          <w:rFonts w:ascii="inherit" w:eastAsia="Times New Roman" w:hAnsi="inherit" w:cs="Arial"/>
          <w:color w:val="8C96A0"/>
          <w:sz w:val="17"/>
          <w:szCs w:val="17"/>
          <w:lang w:eastAsia="ru-RU"/>
        </w:rPr>
        <w:t>http://минобрнауки.рф/документы/938</w:t>
      </w:r>
    </w:p>
    <w:p w:rsidR="00075E38" w:rsidRDefault="00075E38"/>
    <w:sectPr w:rsidR="00075E38" w:rsidSect="0007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_sans_narrow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5889"/>
    <w:multiLevelType w:val="multilevel"/>
    <w:tmpl w:val="936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CBC"/>
    <w:rsid w:val="00075E38"/>
    <w:rsid w:val="004F2CBC"/>
    <w:rsid w:val="00E6153C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38"/>
  </w:style>
  <w:style w:type="paragraph" w:styleId="2">
    <w:name w:val="heading 2"/>
    <w:basedOn w:val="a"/>
    <w:link w:val="20"/>
    <w:uiPriority w:val="9"/>
    <w:qFormat/>
    <w:rsid w:val="004F2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2C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CBC"/>
    <w:rPr>
      <w:color w:val="800080"/>
      <w:u w:val="single"/>
    </w:rPr>
  </w:style>
  <w:style w:type="character" w:customStyle="1" w:styleId="apple-converted-space">
    <w:name w:val="apple-converted-space"/>
    <w:basedOn w:val="a0"/>
    <w:rsid w:val="004F2CBC"/>
  </w:style>
  <w:style w:type="character" w:customStyle="1" w:styleId="fileinfo">
    <w:name w:val="fileinfo"/>
    <w:basedOn w:val="a0"/>
    <w:rsid w:val="004F2CBC"/>
  </w:style>
  <w:style w:type="paragraph" w:styleId="a5">
    <w:name w:val="Normal (Web)"/>
    <w:basedOn w:val="a"/>
    <w:uiPriority w:val="99"/>
    <w:semiHidden/>
    <w:unhideWhenUsed/>
    <w:rsid w:val="004F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-bottom">
    <w:name w:val="post-meta-bottom"/>
    <w:basedOn w:val="a"/>
    <w:rsid w:val="004F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4F2CBC"/>
  </w:style>
  <w:style w:type="paragraph" w:customStyle="1" w:styleId="post-meta">
    <w:name w:val="post-meta"/>
    <w:basedOn w:val="a"/>
    <w:rsid w:val="004F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2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6336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0514">
          <w:marLeft w:val="0"/>
          <w:marRight w:val="0"/>
          <w:marTop w:val="0"/>
          <w:marBottom w:val="0"/>
          <w:divBdr>
            <w:top w:val="single" w:sz="6" w:space="31" w:color="B1B1B1"/>
            <w:left w:val="single" w:sz="6" w:space="31" w:color="B1B1B1"/>
            <w:bottom w:val="single" w:sz="6" w:space="31" w:color="B1B1B1"/>
            <w:right w:val="single" w:sz="6" w:space="31" w:color="B1B1B1"/>
          </w:divBdr>
        </w:div>
        <w:div w:id="949843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" TargetMode="External"/><Relationship Id="rId13" Type="http://schemas.openxmlformats.org/officeDocument/2006/relationships/hyperlink" Target="http://xn--80abucjiibhv9a.xn--p1ai/%D0%B4%D0%BE%D0%BA%D1%83%D0%BC%D0%B5%D0%BD%D1%82%D1%8B/938" TargetMode="External"/><Relationship Id="rId18" Type="http://schemas.openxmlformats.org/officeDocument/2006/relationships/hyperlink" Target="http://xn--80abucjiibhv9a.xn--p1ai/%D0%B4%D0%BE%D0%BA%D1%83%D0%BC%D0%B5%D0%BD%D1%82%D1%8B/9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80abucjiibhv9a.xn--p1ai/%D0%B4%D0%BE%D0%BA%D1%83%D0%BC%D0%B5%D0%BD%D1%82%D1%8B/938/%D0%BF%D0%B5%D1%87%D0%B0%D1%82%D1%8C" TargetMode="External"/><Relationship Id="rId7" Type="http://schemas.openxmlformats.org/officeDocument/2006/relationships/hyperlink" Target="http://xn--80abucjiibhv9a.xn--p1ai/%D0%B4%D0%BE%D0%BA%D1%83%D0%BC%D0%B5%D0%BD%D1%82%D1%8B/938" TargetMode="External"/><Relationship Id="rId12" Type="http://schemas.openxmlformats.org/officeDocument/2006/relationships/hyperlink" Target="http://xn--80abucjiibhv9a.xn--p1ai/%D0%B4%D0%BE%D0%BA%D1%83%D0%BC%D0%B5%D0%BD%D1%82%D1%8B/938" TargetMode="External"/><Relationship Id="rId17" Type="http://schemas.openxmlformats.org/officeDocument/2006/relationships/hyperlink" Target="http://xn--80abucjiibhv9a.xn--p1ai/%D0%B4%D0%BE%D0%BA%D1%83%D0%BC%D0%B5%D0%BD%D1%82%D1%8B/938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%D0%B4%D0%BE%D0%BA%D1%83%D0%BC%D0%B5%D0%BD%D1%82%D1%8B/938" TargetMode="External"/><Relationship Id="rId20" Type="http://schemas.openxmlformats.org/officeDocument/2006/relationships/hyperlink" Target="http://xn--80abucjiibhv9a.xn--p1ai/%D0%B4%D0%BE%D0%BA%D1%83%D0%BC%D0%B5%D0%BD%D1%82%D1%8B/9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938" TargetMode="External"/><Relationship Id="rId11" Type="http://schemas.openxmlformats.org/officeDocument/2006/relationships/hyperlink" Target="http://xn--80abucjiibhv9a.xn--p1ai/%D0%B4%D0%BE%D0%BA%D1%83%D0%BC%D0%B5%D0%BD%D1%82%D1%8B/938" TargetMode="External"/><Relationship Id="rId5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15" Type="http://schemas.openxmlformats.org/officeDocument/2006/relationships/hyperlink" Target="http://xn--80abucjiibhv9a.xn--p1ai/%D0%B4%D0%BE%D0%BA%D1%83%D0%BC%D0%B5%D0%BD%D1%82%D1%8B/9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xn--80abucjiibhv9a.xn--p1ai/%D0%B4%D0%BE%D0%BA%D1%83%D0%BC%D0%B5%D0%BD%D1%82%D1%8B/938" TargetMode="External"/><Relationship Id="rId19" Type="http://schemas.openxmlformats.org/officeDocument/2006/relationships/hyperlink" Target="http://xn--80abucjiibhv9a.xn--p1ai/%D0%B4%D0%BE%D0%BA%D1%83%D0%BC%D0%B5%D0%BD%D1%82%D1%8B/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938" TargetMode="External"/><Relationship Id="rId14" Type="http://schemas.openxmlformats.org/officeDocument/2006/relationships/hyperlink" Target="http://xn--80abucjiibhv9a.xn--p1ai/%D0%B4%D0%BE%D0%BA%D1%83%D0%BC%D0%B5%D0%BD%D1%82%D1%8B/9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16957</Words>
  <Characters>96661</Characters>
  <Application>Microsoft Office Word</Application>
  <DocSecurity>0</DocSecurity>
  <Lines>805</Lines>
  <Paragraphs>226</Paragraphs>
  <ScaleCrop>false</ScaleCrop>
  <Company>Microsoft</Company>
  <LinksUpToDate>false</LinksUpToDate>
  <CharactersWithSpaces>113392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2017-09-21T09:37:00Z</dcterms:created>
  <dcterms:modified xsi:type="dcterms:W3CDTF">2017-09-21T09:37:00Z</dcterms:modified>
</cp:coreProperties>
</file>